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A1A2E"/>
          <w:sz w:val="48"/>
          <w:szCs w:val="48"/>
        </w:rPr>
        <w:t xml:space="preserve">ZWINKLE</w:t>
      </w:r>
    </w:p>
    <w:p>
      <w:pPr>
        <w:spacing w:before="0" w:after="80"/>
        <w:jc w:val="center"/>
      </w:pPr>
      <w:r>
        <w:rPr>
          <w:rFonts w:ascii="Arial" w:cs="Arial" w:eastAsia="Arial" w:hAnsi="Arial"/>
          <w:b/>
          <w:bCs/>
          <w:color w:val="2C3E6B"/>
          <w:sz w:val="32"/>
          <w:szCs w:val="32"/>
        </w:rPr>
        <w:t xml:space="preserve">Washington Consumer Health Data Privacy Policy</w:t>
      </w:r>
    </w:p>
    <w:p>
      <w:pPr>
        <w:spacing w:before="0" w:after="80"/>
        <w:jc w:val="center"/>
      </w:pPr>
      <w:r>
        <w:rPr>
          <w:rFonts w:ascii="Arial" w:cs="Arial" w:eastAsia="Arial" w:hAnsi="Arial"/>
          <w:i/>
          <w:iCs/>
          <w:color w:val="555555"/>
          <w:sz w:val="22"/>
          <w:szCs w:val="22"/>
        </w:rPr>
        <w:t xml:space="preserve">Pursuant to the Washington My Health MY Data Act (WMHMDA)</w:t>
      </w:r>
    </w:p>
    <w:p>
      <w:pPr>
        <w:spacing w:before="0" w:after="300"/>
        <w:jc w:val="center"/>
      </w:pPr>
      <w:r>
        <w:rPr>
          <w:rFonts w:ascii="Arial" w:cs="Arial" w:eastAsia="Arial" w:hAnsi="Arial"/>
          <w:color w:val="888888"/>
          <w:sz w:val="20"/>
          <w:szCs w:val="20"/>
        </w:rPr>
        <w:t xml:space="preserve">Effective Date: February 12, 2026  |  Last Updated: February 12, 2026</w:t>
      </w:r>
    </w:p>
    <w:p>
      <w:pPr>
        <w:pBdr>
          <w:bottom w:val="single" w:color="CCCCCC" w:sz="1"/>
        </w:pBdr>
        <w:spacing w:before="200" w:after="200"/>
      </w:pPr>
      <w:r>
        <w:t xml:space="preserve"/>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60" w:after="80"/>
            </w:pPr>
            <w:r>
              <w:rPr>
                <w:rFonts w:ascii="Arial" w:cs="Arial" w:eastAsia="Arial" w:hAnsi="Arial"/>
                <w:b/>
                <w:bCs/>
                <w:color w:val="1A1A2E"/>
                <w:sz w:val="22"/>
                <w:szCs w:val="22"/>
              </w:rPr>
              <w:t xml:space="preserve">About This Policy</w:t>
            </w:r>
          </w:p>
          <w:p>
            <w:pPr>
              <w:spacing w:before="60" w:after="60"/>
            </w:pPr>
            <w:r>
              <w:rPr>
                <w:rFonts w:ascii="Arial" w:cs="Arial" w:eastAsia="Arial" w:hAnsi="Arial"/>
                <w:color w:val="333333"/>
                <w:sz w:val="22"/>
                <w:szCs w:val="22"/>
              </w:rPr>
              <w:t xml:space="preserve">This Washington Consumer Health Data Privacy Policy ("Health Privacy Policy") describes how Zwinkle, operated by Just Dating Co., Ltd., collects, uses, shares, and protects consumer health data as defined under the Washington My Health MY Data Act (RCW 19.373), also known as the WMHMDA. This policy applies to Washington State residents and supplements our general Privacy Policy available at zwinkle.co/safety-privacy/.</w:t>
            </w:r>
          </w:p>
        </w:tc>
      </w:tr>
    </w:tbl>
    <w:p>
      <w:pPr>
        <w:spacing w:before="120" w:after="120"/>
      </w:pPr>
      <w:r>
        <w:t xml:space="preserve"/>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 Introduction</w:t>
      </w:r>
    </w:p>
    <w:p>
      <w:pPr>
        <w:spacing w:before="100" w:after="100"/>
      </w:pPr>
      <w:r>
        <w:rPr>
          <w:rFonts w:ascii="Arial" w:cs="Arial" w:eastAsia="Arial" w:hAnsi="Arial"/>
          <w:color w:val="333333"/>
          <w:sz w:val="22"/>
          <w:szCs w:val="22"/>
        </w:rPr>
        <w:t xml:space="preserve">Zwinkle ("we," "us," or "our"), operated by Just Dating Co., Ltd., is committed to protecting the privacy and security of your personal health information. This Washington Consumer Health Data Privacy Policy has been prepared in compliance with the Washington My Health MY Data Act (RCW Chapter 19.373), which took effect on March 31, 2024 for small businesses.</w:t>
      </w:r>
    </w:p>
    <w:p>
      <w:pPr>
        <w:spacing w:before="100" w:after="100"/>
      </w:pPr>
      <w:r>
        <w:rPr>
          <w:rFonts w:ascii="Arial" w:cs="Arial" w:eastAsia="Arial" w:hAnsi="Arial"/>
          <w:color w:val="333333"/>
          <w:sz w:val="22"/>
          <w:szCs w:val="22"/>
        </w:rPr>
        <w:t xml:space="preserve">We recognize that health data is among the most sensitive categories of personal information. As a dating and connection platform, Zwinkle may incidentally collect certain information that falls within the definition of "consumer health data" under Washington State law. This policy explains your rights and our obligations with respect to that data.</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2. Scope and Applicability</w:t>
      </w:r>
    </w:p>
    <w:p>
      <w:pPr>
        <w:spacing w:before="100" w:after="100"/>
      </w:pPr>
      <w:r>
        <w:rPr>
          <w:rFonts w:ascii="Arial" w:cs="Arial" w:eastAsia="Arial" w:hAnsi="Arial"/>
          <w:color w:val="333333"/>
          <w:sz w:val="22"/>
          <w:szCs w:val="22"/>
        </w:rPr>
        <w:t xml:space="preserve">This policy applies to:</w:t>
      </w:r>
    </w:p>
    <w:p>
      <w:pPr>
        <w:pStyle w:val="ListParagraph"/>
        <w:numPr>
          <w:ilvl w:val="0"/>
          <w:numId w:val="2"/>
        </w:numPr>
        <w:spacing w:before="60" w:after="60"/>
      </w:pPr>
      <w:r>
        <w:rPr>
          <w:rFonts w:ascii="Arial" w:cs="Arial" w:eastAsia="Arial" w:hAnsi="Arial"/>
          <w:color w:val="333333"/>
          <w:sz w:val="22"/>
          <w:szCs w:val="22"/>
        </w:rPr>
        <w:t xml:space="preserve">Washington State residents who use or have used Zwinkle services</w:t>
      </w:r>
    </w:p>
    <w:p>
      <w:pPr>
        <w:pStyle w:val="ListParagraph"/>
        <w:numPr>
          <w:ilvl w:val="0"/>
          <w:numId w:val="2"/>
        </w:numPr>
        <w:spacing w:before="60" w:after="60"/>
      </w:pPr>
      <w:r>
        <w:rPr>
          <w:rFonts w:ascii="Arial" w:cs="Arial" w:eastAsia="Arial" w:hAnsi="Arial"/>
          <w:color w:val="333333"/>
          <w:sz w:val="22"/>
          <w:szCs w:val="22"/>
        </w:rPr>
        <w:t xml:space="preserve">Any consumer health data we collect, process, or share in connection with our services</w:t>
      </w:r>
    </w:p>
    <w:p>
      <w:pPr>
        <w:pStyle w:val="ListParagraph"/>
        <w:numPr>
          <w:ilvl w:val="0"/>
          <w:numId w:val="2"/>
        </w:numPr>
        <w:spacing w:before="60" w:after="60"/>
      </w:pPr>
      <w:r>
        <w:rPr>
          <w:rFonts w:ascii="Arial" w:cs="Arial" w:eastAsia="Arial" w:hAnsi="Arial"/>
          <w:color w:val="333333"/>
          <w:sz w:val="22"/>
          <w:szCs w:val="22"/>
        </w:rPr>
        <w:t xml:space="preserve">Personal devices, browsers, and applications used to access Zwinkle</w:t>
      </w:r>
    </w:p>
    <w:p>
      <w:pPr>
        <w:spacing w:before="120" w:after="120"/>
      </w:pPr>
      <w:r>
        <w:t xml:space="preserve"/>
      </w:r>
    </w:p>
    <w:p>
      <w:pPr>
        <w:spacing w:before="100" w:after="100"/>
      </w:pPr>
      <w:r>
        <w:rPr>
          <w:rFonts w:ascii="Arial" w:cs="Arial" w:eastAsia="Arial" w:hAnsi="Arial"/>
          <w:color w:val="333333"/>
          <w:sz w:val="22"/>
          <w:szCs w:val="22"/>
        </w:rPr>
        <w:t xml:space="preserve">This policy does not apply to information that is not consumer health data as defined by the WMHMDA, or to data governed exclusively by federal health privacy laws such as HIPAA.</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3. Definition of Consumer Health Data</w:t>
      </w:r>
    </w:p>
    <w:p>
      <w:pPr>
        <w:spacing w:before="100" w:after="100"/>
      </w:pPr>
      <w:r>
        <w:rPr>
          <w:rFonts w:ascii="Arial" w:cs="Arial" w:eastAsia="Arial" w:hAnsi="Arial"/>
          <w:color w:val="333333"/>
          <w:sz w:val="22"/>
          <w:szCs w:val="22"/>
        </w:rPr>
        <w:t xml:space="preserve">Under the Washington My Health MY Data Act, "consumer health data" means personal information that is linked or reasonably linkable to a consumer and that identifies the consumer's past, present, or future physical or mental health status. This may include, but is not limited to:</w:t>
      </w:r>
    </w:p>
    <w:p>
      <w:pPr>
        <w:pStyle w:val="ListParagraph"/>
        <w:numPr>
          <w:ilvl w:val="0"/>
          <w:numId w:val="2"/>
        </w:numPr>
        <w:spacing w:before="60" w:after="60"/>
      </w:pPr>
      <w:r>
        <w:rPr>
          <w:rFonts w:ascii="Arial" w:cs="Arial" w:eastAsia="Arial" w:hAnsi="Arial"/>
          <w:color w:val="333333"/>
          <w:sz w:val="22"/>
          <w:szCs w:val="22"/>
        </w:rPr>
        <w:t xml:space="preserve">Individual health conditions, treatments, diseases, or diagnoses</w:t>
      </w:r>
    </w:p>
    <w:p>
      <w:pPr>
        <w:pStyle w:val="ListParagraph"/>
        <w:numPr>
          <w:ilvl w:val="0"/>
          <w:numId w:val="2"/>
        </w:numPr>
        <w:spacing w:before="60" w:after="60"/>
      </w:pPr>
      <w:r>
        <w:rPr>
          <w:rFonts w:ascii="Arial" w:cs="Arial" w:eastAsia="Arial" w:hAnsi="Arial"/>
          <w:color w:val="333333"/>
          <w:sz w:val="22"/>
          <w:szCs w:val="22"/>
        </w:rPr>
        <w:t xml:space="preserve">Social, psychological, behavioral, and medical interventions</w:t>
      </w:r>
    </w:p>
    <w:p>
      <w:pPr>
        <w:pStyle w:val="ListParagraph"/>
        <w:numPr>
          <w:ilvl w:val="0"/>
          <w:numId w:val="2"/>
        </w:numPr>
        <w:spacing w:before="60" w:after="60"/>
      </w:pPr>
      <w:r>
        <w:rPr>
          <w:rFonts w:ascii="Arial" w:cs="Arial" w:eastAsia="Arial" w:hAnsi="Arial"/>
          <w:color w:val="333333"/>
          <w:sz w:val="22"/>
          <w:szCs w:val="22"/>
        </w:rPr>
        <w:t xml:space="preserve">Health-related surgeries or procedures</w:t>
      </w:r>
    </w:p>
    <w:p>
      <w:pPr>
        <w:pStyle w:val="ListParagraph"/>
        <w:numPr>
          <w:ilvl w:val="0"/>
          <w:numId w:val="2"/>
        </w:numPr>
        <w:spacing w:before="60" w:after="60"/>
      </w:pPr>
      <w:r>
        <w:rPr>
          <w:rFonts w:ascii="Arial" w:cs="Arial" w:eastAsia="Arial" w:hAnsi="Arial"/>
          <w:color w:val="333333"/>
          <w:sz w:val="22"/>
          <w:szCs w:val="22"/>
        </w:rPr>
        <w:t xml:space="preserve">Use or purchase of prescribed medication</w:t>
      </w:r>
    </w:p>
    <w:p>
      <w:pPr>
        <w:pStyle w:val="ListParagraph"/>
        <w:numPr>
          <w:ilvl w:val="0"/>
          <w:numId w:val="2"/>
        </w:numPr>
        <w:spacing w:before="60" w:after="60"/>
      </w:pPr>
      <w:r>
        <w:rPr>
          <w:rFonts w:ascii="Arial" w:cs="Arial" w:eastAsia="Arial" w:hAnsi="Arial"/>
          <w:color w:val="333333"/>
          <w:sz w:val="22"/>
          <w:szCs w:val="22"/>
        </w:rPr>
        <w:t xml:space="preserve">Bodily functions, vital signs, symptoms, or measurements</w:t>
      </w:r>
    </w:p>
    <w:p>
      <w:pPr>
        <w:pStyle w:val="ListParagraph"/>
        <w:numPr>
          <w:ilvl w:val="0"/>
          <w:numId w:val="2"/>
        </w:numPr>
        <w:spacing w:before="60" w:after="60"/>
      </w:pPr>
      <w:r>
        <w:rPr>
          <w:rFonts w:ascii="Arial" w:cs="Arial" w:eastAsia="Arial" w:hAnsi="Arial"/>
          <w:color w:val="333333"/>
          <w:sz w:val="22"/>
          <w:szCs w:val="22"/>
        </w:rPr>
        <w:t xml:space="preserve">Reproductive or sexual health information</w:t>
      </w:r>
    </w:p>
    <w:p>
      <w:pPr>
        <w:pStyle w:val="ListParagraph"/>
        <w:numPr>
          <w:ilvl w:val="0"/>
          <w:numId w:val="2"/>
        </w:numPr>
        <w:spacing w:before="60" w:after="60"/>
      </w:pPr>
      <w:r>
        <w:rPr>
          <w:rFonts w:ascii="Arial" w:cs="Arial" w:eastAsia="Arial" w:hAnsi="Arial"/>
          <w:color w:val="333333"/>
          <w:sz w:val="22"/>
          <w:szCs w:val="22"/>
        </w:rPr>
        <w:t xml:space="preserve">Gender-affirming care information</w:t>
      </w:r>
    </w:p>
    <w:p>
      <w:pPr>
        <w:pStyle w:val="ListParagraph"/>
        <w:numPr>
          <w:ilvl w:val="0"/>
          <w:numId w:val="2"/>
        </w:numPr>
        <w:spacing w:before="60" w:after="60"/>
      </w:pPr>
      <w:r>
        <w:rPr>
          <w:rFonts w:ascii="Arial" w:cs="Arial" w:eastAsia="Arial" w:hAnsi="Arial"/>
          <w:color w:val="333333"/>
          <w:sz w:val="22"/>
          <w:szCs w:val="22"/>
        </w:rPr>
        <w:t xml:space="preserve">Precise geolocation data that could indicate a visit to a healthcare facility</w:t>
      </w:r>
    </w:p>
    <w:p>
      <w:pPr>
        <w:pStyle w:val="ListParagraph"/>
        <w:numPr>
          <w:ilvl w:val="0"/>
          <w:numId w:val="2"/>
        </w:numPr>
        <w:spacing w:before="60" w:after="60"/>
      </w:pPr>
      <w:r>
        <w:rPr>
          <w:rFonts w:ascii="Arial" w:cs="Arial" w:eastAsia="Arial" w:hAnsi="Arial"/>
          <w:color w:val="333333"/>
          <w:sz w:val="22"/>
          <w:szCs w:val="22"/>
        </w:rPr>
        <w:t xml:space="preserve">Data that identifies a consumer seeking health care services</w:t>
      </w:r>
    </w:p>
    <w:p>
      <w:pPr>
        <w:pStyle w:val="ListParagraph"/>
        <w:numPr>
          <w:ilvl w:val="0"/>
          <w:numId w:val="2"/>
        </w:numPr>
        <w:spacing w:before="60" w:after="60"/>
      </w:pPr>
      <w:r>
        <w:rPr>
          <w:rFonts w:ascii="Arial" w:cs="Arial" w:eastAsia="Arial" w:hAnsi="Arial"/>
          <w:color w:val="333333"/>
          <w:sz w:val="22"/>
          <w:szCs w:val="22"/>
        </w:rPr>
        <w:t xml:space="preserve">Any information derived from the above that is used to make inferences about health status</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4. Consumer Health Data We May Collect</w:t>
      </w:r>
    </w:p>
    <w:p>
      <w:pPr>
        <w:spacing w:before="100" w:after="100"/>
      </w:pPr>
      <w:r>
        <w:rPr>
          <w:rFonts w:ascii="Arial" w:cs="Arial" w:eastAsia="Arial" w:hAnsi="Arial"/>
          <w:color w:val="333333"/>
          <w:sz w:val="22"/>
          <w:szCs w:val="22"/>
        </w:rPr>
        <w:t xml:space="preserve">While Zwinkle is a dating and social connection platform, we recognize that certain information you provide — or that is derived from your use of our platform — may qualify as consumer health data under Washington law. The following categories may apply:</w:t>
      </w:r>
    </w:p>
    <w:p>
      <w:pPr>
        <w:spacing w:before="120" w:after="120"/>
      </w:pPr>
      <w:r>
        <w:t xml:space="preserve"/>
      </w:r>
    </w:p>
    <w:p>
      <w:pPr>
        <w:spacing w:before="200" w:after="100"/>
      </w:pPr>
      <w:r>
        <w:rPr>
          <w:rFonts w:ascii="Arial" w:cs="Arial" w:eastAsia="Arial" w:hAnsi="Arial"/>
          <w:b/>
          <w:bCs/>
          <w:color w:val="3A5BA0"/>
          <w:sz w:val="24"/>
          <w:szCs w:val="24"/>
        </w:rPr>
        <w:t xml:space="preserve">4.1 Information You Provide Directly</w:t>
      </w:r>
    </w:p>
    <w:p>
      <w:pPr>
        <w:pStyle w:val="ListParagraph"/>
        <w:numPr>
          <w:ilvl w:val="0"/>
          <w:numId w:val="2"/>
        </w:numPr>
        <w:spacing w:before="60" w:after="60"/>
      </w:pPr>
      <w:r>
        <w:rPr>
          <w:rFonts w:ascii="Arial" w:cs="Arial" w:eastAsia="Arial" w:hAnsi="Arial"/>
          <w:color w:val="333333"/>
          <w:sz w:val="22"/>
          <w:szCs w:val="22"/>
        </w:rPr>
        <w:t xml:space="preserve">Health-related personal interests or activities you choose to include in your profile</w:t>
      </w:r>
    </w:p>
    <w:p>
      <w:pPr>
        <w:pStyle w:val="ListParagraph"/>
        <w:numPr>
          <w:ilvl w:val="0"/>
          <w:numId w:val="2"/>
        </w:numPr>
        <w:spacing w:before="60" w:after="60"/>
      </w:pPr>
      <w:r>
        <w:rPr>
          <w:rFonts w:ascii="Arial" w:cs="Arial" w:eastAsia="Arial" w:hAnsi="Arial"/>
          <w:color w:val="333333"/>
          <w:sz w:val="22"/>
          <w:szCs w:val="22"/>
        </w:rPr>
        <w:t xml:space="preserve">Information about physical or mental wellness shared in conversations or profile fields</w:t>
      </w:r>
    </w:p>
    <w:p>
      <w:pPr>
        <w:pStyle w:val="ListParagraph"/>
        <w:numPr>
          <w:ilvl w:val="0"/>
          <w:numId w:val="2"/>
        </w:numPr>
        <w:spacing w:before="60" w:after="60"/>
      </w:pPr>
      <w:r>
        <w:rPr>
          <w:rFonts w:ascii="Arial" w:cs="Arial" w:eastAsia="Arial" w:hAnsi="Arial"/>
          <w:color w:val="333333"/>
          <w:sz w:val="22"/>
          <w:szCs w:val="22"/>
        </w:rPr>
        <w:t xml:space="preserve">Dietary preferences or lifestyle habits that may indicate a health condition</w:t>
      </w:r>
    </w:p>
    <w:p>
      <w:pPr>
        <w:pStyle w:val="ListParagraph"/>
        <w:numPr>
          <w:ilvl w:val="0"/>
          <w:numId w:val="2"/>
        </w:numPr>
        <w:spacing w:before="60" w:after="60"/>
      </w:pPr>
      <w:r>
        <w:rPr>
          <w:rFonts w:ascii="Arial" w:cs="Arial" w:eastAsia="Arial" w:hAnsi="Arial"/>
          <w:color w:val="333333"/>
          <w:sz w:val="22"/>
          <w:szCs w:val="22"/>
        </w:rPr>
        <w:t xml:space="preserve">Information related to reproductive health or gender identity when voluntarily disclosed</w:t>
      </w:r>
    </w:p>
    <w:p>
      <w:pPr>
        <w:spacing w:before="120" w:after="120"/>
      </w:pPr>
      <w:r>
        <w:t xml:space="preserve"/>
      </w:r>
    </w:p>
    <w:p>
      <w:pPr>
        <w:spacing w:before="200" w:after="100"/>
      </w:pPr>
      <w:r>
        <w:rPr>
          <w:rFonts w:ascii="Arial" w:cs="Arial" w:eastAsia="Arial" w:hAnsi="Arial"/>
          <w:b/>
          <w:bCs/>
          <w:color w:val="3A5BA0"/>
          <w:sz w:val="24"/>
          <w:szCs w:val="24"/>
        </w:rPr>
        <w:t xml:space="preserve">4.2 Information Collected Automatically</w:t>
      </w:r>
    </w:p>
    <w:p>
      <w:pPr>
        <w:pStyle w:val="ListParagraph"/>
        <w:numPr>
          <w:ilvl w:val="0"/>
          <w:numId w:val="2"/>
        </w:numPr>
        <w:spacing w:before="60" w:after="60"/>
      </w:pPr>
      <w:r>
        <w:rPr>
          <w:rFonts w:ascii="Arial" w:cs="Arial" w:eastAsia="Arial" w:hAnsi="Arial"/>
          <w:color w:val="333333"/>
          <w:sz w:val="22"/>
          <w:szCs w:val="22"/>
        </w:rPr>
        <w:t xml:space="preserve">Precise geolocation data (with your permission) that may indicate visits to health-related facilities</w:t>
      </w:r>
    </w:p>
    <w:p>
      <w:pPr>
        <w:pStyle w:val="ListParagraph"/>
        <w:numPr>
          <w:ilvl w:val="0"/>
          <w:numId w:val="2"/>
        </w:numPr>
        <w:spacing w:before="60" w:after="60"/>
      </w:pPr>
      <w:r>
        <w:rPr>
          <w:rFonts w:ascii="Arial" w:cs="Arial" w:eastAsia="Arial" w:hAnsi="Arial"/>
          <w:color w:val="333333"/>
          <w:sz w:val="22"/>
          <w:szCs w:val="22"/>
        </w:rPr>
        <w:t xml:space="preserve">Device identifiers and usage patterns that may be linked to health-related searches</w:t>
      </w:r>
    </w:p>
    <w:p>
      <w:pPr>
        <w:pStyle w:val="ListParagraph"/>
        <w:numPr>
          <w:ilvl w:val="0"/>
          <w:numId w:val="2"/>
        </w:numPr>
        <w:spacing w:before="60" w:after="60"/>
      </w:pPr>
      <w:r>
        <w:rPr>
          <w:rFonts w:ascii="Arial" w:cs="Arial" w:eastAsia="Arial" w:hAnsi="Arial"/>
          <w:color w:val="333333"/>
          <w:sz w:val="22"/>
          <w:szCs w:val="22"/>
        </w:rPr>
        <w:t xml:space="preserve">Inferences drawn from your behavior or profile that relate to health status</w:t>
      </w:r>
    </w:p>
    <w:p>
      <w:pPr>
        <w:spacing w:before="120" w:after="120"/>
      </w:pPr>
      <w:r>
        <w:t xml:space="preserve"/>
      </w:r>
    </w:p>
    <w:p>
      <w:pPr>
        <w:spacing w:before="200" w:after="100"/>
      </w:pPr>
      <w:r>
        <w:rPr>
          <w:rFonts w:ascii="Arial" w:cs="Arial" w:eastAsia="Arial" w:hAnsi="Arial"/>
          <w:b/>
          <w:bCs/>
          <w:color w:val="3A5BA0"/>
          <w:sz w:val="24"/>
          <w:szCs w:val="24"/>
        </w:rPr>
        <w:t xml:space="preserve">4.3 Information from Third Parties</w:t>
      </w:r>
    </w:p>
    <w:p>
      <w:pPr>
        <w:pStyle w:val="ListParagraph"/>
        <w:numPr>
          <w:ilvl w:val="0"/>
          <w:numId w:val="2"/>
        </w:numPr>
        <w:spacing w:before="60" w:after="60"/>
      </w:pPr>
      <w:r>
        <w:rPr>
          <w:rFonts w:ascii="Arial" w:cs="Arial" w:eastAsia="Arial" w:hAnsi="Arial"/>
          <w:color w:val="333333"/>
          <w:sz w:val="22"/>
          <w:szCs w:val="22"/>
        </w:rPr>
        <w:t xml:space="preserve">Information received from identity verification providers</w:t>
      </w:r>
    </w:p>
    <w:p>
      <w:pPr>
        <w:pStyle w:val="ListParagraph"/>
        <w:numPr>
          <w:ilvl w:val="0"/>
          <w:numId w:val="2"/>
        </w:numPr>
        <w:spacing w:before="60" w:after="60"/>
      </w:pPr>
      <w:r>
        <w:rPr>
          <w:rFonts w:ascii="Arial" w:cs="Arial" w:eastAsia="Arial" w:hAnsi="Arial"/>
          <w:color w:val="333333"/>
          <w:sz w:val="22"/>
          <w:szCs w:val="22"/>
        </w:rPr>
        <w:t xml:space="preserve">Information from social media platforms if you choose to connect them</w:t>
      </w:r>
    </w:p>
    <w:p>
      <w:pPr>
        <w:pStyle w:val="ListParagraph"/>
        <w:numPr>
          <w:ilvl w:val="0"/>
          <w:numId w:val="2"/>
        </w:numPr>
        <w:spacing w:before="60" w:after="60"/>
      </w:pPr>
      <w:r>
        <w:rPr>
          <w:rFonts w:ascii="Arial" w:cs="Arial" w:eastAsia="Arial" w:hAnsi="Arial"/>
          <w:color w:val="333333"/>
          <w:sz w:val="22"/>
          <w:szCs w:val="22"/>
        </w:rPr>
        <w:t xml:space="preserve">Publicly available information combined with platform data</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5. How We Use Consumer Health Data</w:t>
      </w:r>
    </w:p>
    <w:p>
      <w:pPr>
        <w:spacing w:before="100" w:after="100"/>
      </w:pPr>
      <w:r>
        <w:rPr>
          <w:rFonts w:ascii="Arial" w:cs="Arial" w:eastAsia="Arial" w:hAnsi="Arial"/>
          <w:color w:val="333333"/>
          <w:sz w:val="22"/>
          <w:szCs w:val="22"/>
        </w:rPr>
        <w:t xml:space="preserve">We use consumer health data only for the following purposes:</w:t>
      </w:r>
    </w:p>
    <w:p>
      <w:pPr>
        <w:pStyle w:val="ListParagraph"/>
        <w:numPr>
          <w:ilvl w:val="0"/>
          <w:numId w:val="2"/>
        </w:numPr>
        <w:spacing w:before="60" w:after="60"/>
      </w:pPr>
      <w:r>
        <w:rPr>
          <w:rFonts w:ascii="Arial" w:cs="Arial" w:eastAsia="Arial" w:hAnsi="Arial"/>
          <w:color w:val="333333"/>
          <w:sz w:val="22"/>
          <w:szCs w:val="22"/>
        </w:rPr>
        <w:t xml:space="preserve">To provide, maintain, and improve the Zwinkle platform and its features</w:t>
      </w:r>
    </w:p>
    <w:p>
      <w:pPr>
        <w:pStyle w:val="ListParagraph"/>
        <w:numPr>
          <w:ilvl w:val="0"/>
          <w:numId w:val="2"/>
        </w:numPr>
        <w:spacing w:before="60" w:after="60"/>
      </w:pPr>
      <w:r>
        <w:rPr>
          <w:rFonts w:ascii="Arial" w:cs="Arial" w:eastAsia="Arial" w:hAnsi="Arial"/>
          <w:color w:val="333333"/>
          <w:sz w:val="22"/>
          <w:szCs w:val="22"/>
        </w:rPr>
        <w:t xml:space="preserve">To facilitate connections between users based on compatible interests and preferences</w:t>
      </w:r>
    </w:p>
    <w:p>
      <w:pPr>
        <w:pStyle w:val="ListParagraph"/>
        <w:numPr>
          <w:ilvl w:val="0"/>
          <w:numId w:val="2"/>
        </w:numPr>
        <w:spacing w:before="60" w:after="60"/>
      </w:pPr>
      <w:r>
        <w:rPr>
          <w:rFonts w:ascii="Arial" w:cs="Arial" w:eastAsia="Arial" w:hAnsi="Arial"/>
          <w:color w:val="333333"/>
          <w:sz w:val="22"/>
          <w:szCs w:val="22"/>
        </w:rPr>
        <w:t xml:space="preserve">To verify user identity and maintain platform security</w:t>
      </w:r>
    </w:p>
    <w:p>
      <w:pPr>
        <w:pStyle w:val="ListParagraph"/>
        <w:numPr>
          <w:ilvl w:val="0"/>
          <w:numId w:val="2"/>
        </w:numPr>
        <w:spacing w:before="60" w:after="60"/>
      </w:pPr>
      <w:r>
        <w:rPr>
          <w:rFonts w:ascii="Arial" w:cs="Arial" w:eastAsia="Arial" w:hAnsi="Arial"/>
          <w:color w:val="333333"/>
          <w:sz w:val="22"/>
          <w:szCs w:val="22"/>
        </w:rPr>
        <w:t xml:space="preserve">To comply with applicable legal obligations</w:t>
      </w:r>
    </w:p>
    <w:p>
      <w:pPr>
        <w:pStyle w:val="ListParagraph"/>
        <w:numPr>
          <w:ilvl w:val="0"/>
          <w:numId w:val="2"/>
        </w:numPr>
        <w:spacing w:before="60" w:after="60"/>
      </w:pPr>
      <w:r>
        <w:rPr>
          <w:rFonts w:ascii="Arial" w:cs="Arial" w:eastAsia="Arial" w:hAnsi="Arial"/>
          <w:color w:val="333333"/>
          <w:sz w:val="22"/>
          <w:szCs w:val="22"/>
        </w:rPr>
        <w:t xml:space="preserve">To respond to your requests, inquiries, or support tickets</w:t>
      </w:r>
    </w:p>
    <w:p>
      <w:pPr>
        <w:pStyle w:val="ListParagraph"/>
        <w:numPr>
          <w:ilvl w:val="0"/>
          <w:numId w:val="2"/>
        </w:numPr>
        <w:spacing w:before="60" w:after="60"/>
      </w:pPr>
      <w:r>
        <w:rPr>
          <w:rFonts w:ascii="Arial" w:cs="Arial" w:eastAsia="Arial" w:hAnsi="Arial"/>
          <w:color w:val="333333"/>
          <w:sz w:val="22"/>
          <w:szCs w:val="22"/>
        </w:rPr>
        <w:t xml:space="preserve">To send service-related communications and notifications</w:t>
      </w:r>
    </w:p>
    <w:p>
      <w:pPr>
        <w:spacing w:before="120" w:after="120"/>
      </w:pPr>
      <w:r>
        <w:t xml:space="preserve"/>
      </w:r>
    </w:p>
    <w:p>
      <w:pPr>
        <w:spacing w:before="100" w:after="100"/>
      </w:pPr>
      <w:r>
        <w:rPr>
          <w:rFonts w:ascii="Arial" w:cs="Arial" w:eastAsia="Arial" w:hAnsi="Arial"/>
          <w:color w:val="333333"/>
          <w:sz w:val="22"/>
          <w:szCs w:val="22"/>
        </w:rPr>
        <w:t xml:space="preserve">We do not use consumer health data for targeted advertising, profiling for purposes unrelated to the provision of our services, or any purpose that requires your consent under applicable law without first obtaining such consent.</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6. Sharing and Disclosure of Consumer Health Data</w:t>
      </w:r>
    </w:p>
    <w:p>
      <w:pPr>
        <w:spacing w:before="100" w:after="100"/>
      </w:pPr>
      <w:r>
        <w:rPr>
          <w:rFonts w:ascii="Arial" w:cs="Arial" w:eastAsia="Arial" w:hAnsi="Arial"/>
          <w:color w:val="333333"/>
          <w:sz w:val="22"/>
          <w:szCs w:val="22"/>
        </w:rPr>
        <w:t xml:space="preserve">We will not sell, share, or disclose your consumer health data to third parties except in the following limited circumstances:</w:t>
      </w:r>
    </w:p>
    <w:p>
      <w:pPr>
        <w:pStyle w:val="ListParagraph"/>
        <w:numPr>
          <w:ilvl w:val="0"/>
          <w:numId w:val="2"/>
        </w:numPr>
        <w:spacing w:before="60" w:after="60"/>
      </w:pPr>
      <w:r>
        <w:rPr>
          <w:rFonts w:ascii="Arial" w:cs="Arial" w:eastAsia="Arial" w:hAnsi="Arial"/>
          <w:color w:val="333333"/>
          <w:sz w:val="22"/>
          <w:szCs w:val="22"/>
        </w:rPr>
        <w:t xml:space="preserve">With your express consent, provided separately from any general consent to our terms of service</w:t>
      </w:r>
    </w:p>
    <w:p>
      <w:pPr>
        <w:pStyle w:val="ListParagraph"/>
        <w:numPr>
          <w:ilvl w:val="0"/>
          <w:numId w:val="2"/>
        </w:numPr>
        <w:spacing w:before="60" w:after="60"/>
      </w:pPr>
      <w:r>
        <w:rPr>
          <w:rFonts w:ascii="Arial" w:cs="Arial" w:eastAsia="Arial" w:hAnsi="Arial"/>
          <w:color w:val="333333"/>
          <w:sz w:val="22"/>
          <w:szCs w:val="22"/>
        </w:rPr>
        <w:t xml:space="preserve">With service providers acting as processors on our behalf, subject to contractual obligations to protect your data</w:t>
      </w:r>
    </w:p>
    <w:p>
      <w:pPr>
        <w:pStyle w:val="ListParagraph"/>
        <w:numPr>
          <w:ilvl w:val="0"/>
          <w:numId w:val="2"/>
        </w:numPr>
        <w:spacing w:before="60" w:after="60"/>
      </w:pPr>
      <w:r>
        <w:rPr>
          <w:rFonts w:ascii="Arial" w:cs="Arial" w:eastAsia="Arial" w:hAnsi="Arial"/>
          <w:color w:val="333333"/>
          <w:sz w:val="22"/>
          <w:szCs w:val="22"/>
        </w:rPr>
        <w:t xml:space="preserve">To comply with a valid legal process, court order, or government request</w:t>
      </w:r>
    </w:p>
    <w:p>
      <w:pPr>
        <w:pStyle w:val="ListParagraph"/>
        <w:numPr>
          <w:ilvl w:val="0"/>
          <w:numId w:val="2"/>
        </w:numPr>
        <w:spacing w:before="60" w:after="60"/>
      </w:pPr>
      <w:r>
        <w:rPr>
          <w:rFonts w:ascii="Arial" w:cs="Arial" w:eastAsia="Arial" w:hAnsi="Arial"/>
          <w:color w:val="333333"/>
          <w:sz w:val="22"/>
          <w:szCs w:val="22"/>
        </w:rPr>
        <w:t xml:space="preserve">To protect the rights, property, or safety of Zwinkle, our users, or the public</w:t>
      </w:r>
    </w:p>
    <w:p>
      <w:pPr>
        <w:pStyle w:val="ListParagraph"/>
        <w:numPr>
          <w:ilvl w:val="0"/>
          <w:numId w:val="2"/>
        </w:numPr>
        <w:spacing w:before="60" w:after="60"/>
      </w:pPr>
      <w:r>
        <w:rPr>
          <w:rFonts w:ascii="Arial" w:cs="Arial" w:eastAsia="Arial" w:hAnsi="Arial"/>
          <w:color w:val="333333"/>
          <w:sz w:val="22"/>
          <w:szCs w:val="22"/>
        </w:rPr>
        <w:t xml:space="preserve">In connection with a merger, acquisition, or sale of business assets, subject to continued privacy protections</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60" w:after="80"/>
            </w:pPr>
            <w:r>
              <w:rPr>
                <w:rFonts w:ascii="Arial" w:cs="Arial" w:eastAsia="Arial" w:hAnsi="Arial"/>
                <w:b/>
                <w:bCs/>
                <w:color w:val="1A1A2E"/>
                <w:sz w:val="22"/>
                <w:szCs w:val="22"/>
              </w:rPr>
              <w:t xml:space="preserve">Important: No Sale of Health Data</w:t>
            </w:r>
          </w:p>
          <w:p>
            <w:pPr>
              <w:spacing w:before="60" w:after="60"/>
            </w:pPr>
            <w:r>
              <w:rPr>
                <w:rFonts w:ascii="Arial" w:cs="Arial" w:eastAsia="Arial" w:hAnsi="Arial"/>
                <w:color w:val="333333"/>
                <w:sz w:val="22"/>
                <w:szCs w:val="22"/>
              </w:rPr>
              <w:t xml:space="preserve">Zwinkle does not sell your consumer health data. We do not exchange your health information for monetary or other valuable consideration with data brokers, advertisers, or third-party analytics providers.</w:t>
            </w:r>
          </w:p>
        </w:tc>
      </w:tr>
    </w:tbl>
    <w:p>
      <w:pPr>
        <w:spacing w:before="120" w:after="120"/>
      </w:pPr>
      <w:r>
        <w:t xml:space="preserve"/>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7. Your Rights Under the WMHMDA</w:t>
      </w:r>
    </w:p>
    <w:p>
      <w:pPr>
        <w:spacing w:before="100" w:after="100"/>
      </w:pPr>
      <w:r>
        <w:rPr>
          <w:rFonts w:ascii="Arial" w:cs="Arial" w:eastAsia="Arial" w:hAnsi="Arial"/>
          <w:color w:val="333333"/>
          <w:sz w:val="22"/>
          <w:szCs w:val="22"/>
        </w:rPr>
        <w:t xml:space="preserve">As a Washington State resident, you have the following rights with respect to your consumer health data:</w:t>
      </w:r>
    </w:p>
    <w:p>
      <w:pPr>
        <w:spacing w:before="120" w:after="120"/>
      </w:pPr>
      <w:r>
        <w:t xml:space="preserve"/>
      </w:r>
    </w:p>
    <w:p>
      <w:pPr>
        <w:spacing w:before="200" w:after="100"/>
      </w:pPr>
      <w:r>
        <w:rPr>
          <w:rFonts w:ascii="Arial" w:cs="Arial" w:eastAsia="Arial" w:hAnsi="Arial"/>
          <w:b/>
          <w:bCs/>
          <w:color w:val="3A5BA0"/>
          <w:sz w:val="24"/>
          <w:szCs w:val="24"/>
        </w:rPr>
        <w:t xml:space="preserve">7.1 Right to Access</w:t>
      </w:r>
    </w:p>
    <w:p>
      <w:pPr>
        <w:spacing w:before="100" w:after="100"/>
      </w:pPr>
      <w:r>
        <w:rPr>
          <w:rFonts w:ascii="Arial" w:cs="Arial" w:eastAsia="Arial" w:hAnsi="Arial"/>
          <w:color w:val="333333"/>
          <w:sz w:val="22"/>
          <w:szCs w:val="22"/>
        </w:rPr>
        <w:t xml:space="preserve">You have the right to confirm whether we are collecting, sharing, or selling your consumer health data, and to access that data in a portable format.</w:t>
      </w:r>
    </w:p>
    <w:p>
      <w:pPr>
        <w:spacing w:before="200" w:after="100"/>
      </w:pPr>
      <w:r>
        <w:rPr>
          <w:rFonts w:ascii="Arial" w:cs="Arial" w:eastAsia="Arial" w:hAnsi="Arial"/>
          <w:b/>
          <w:bCs/>
          <w:color w:val="3A5BA0"/>
          <w:sz w:val="24"/>
          <w:szCs w:val="24"/>
        </w:rPr>
        <w:t xml:space="preserve">7.2 Right to Withdraw Consent</w:t>
      </w:r>
    </w:p>
    <w:p>
      <w:pPr>
        <w:spacing w:before="100" w:after="100"/>
      </w:pPr>
      <w:r>
        <w:rPr>
          <w:rFonts w:ascii="Arial" w:cs="Arial" w:eastAsia="Arial" w:hAnsi="Arial"/>
          <w:color w:val="333333"/>
          <w:sz w:val="22"/>
          <w:szCs w:val="22"/>
        </w:rPr>
        <w:t xml:space="preserve">Where we have collected your consumer health data based on your consent, you have the right to withdraw that consent at any time. Withdrawal of consent does not affect the lawfulness of processing prior to withdrawal.</w:t>
      </w:r>
    </w:p>
    <w:p>
      <w:pPr>
        <w:spacing w:before="200" w:after="100"/>
      </w:pPr>
      <w:r>
        <w:rPr>
          <w:rFonts w:ascii="Arial" w:cs="Arial" w:eastAsia="Arial" w:hAnsi="Arial"/>
          <w:b/>
          <w:bCs/>
          <w:color w:val="3A5BA0"/>
          <w:sz w:val="24"/>
          <w:szCs w:val="24"/>
        </w:rPr>
        <w:t xml:space="preserve">7.3 Right to Deletion</w:t>
      </w:r>
    </w:p>
    <w:p>
      <w:pPr>
        <w:spacing w:before="100" w:after="100"/>
      </w:pPr>
      <w:r>
        <w:rPr>
          <w:rFonts w:ascii="Arial" w:cs="Arial" w:eastAsia="Arial" w:hAnsi="Arial"/>
          <w:color w:val="333333"/>
          <w:sz w:val="22"/>
          <w:szCs w:val="22"/>
        </w:rPr>
        <w:t xml:space="preserve">You have the right to request that we delete your consumer health data. Upon a verified request, we will delete your data from our systems and direct our service providers to do the same, unless retention is required by law.</w:t>
      </w:r>
    </w:p>
    <w:p>
      <w:pPr>
        <w:spacing w:before="200" w:after="100"/>
      </w:pPr>
      <w:r>
        <w:rPr>
          <w:rFonts w:ascii="Arial" w:cs="Arial" w:eastAsia="Arial" w:hAnsi="Arial"/>
          <w:b/>
          <w:bCs/>
          <w:color w:val="3A5BA0"/>
          <w:sz w:val="24"/>
          <w:szCs w:val="24"/>
        </w:rPr>
        <w:t xml:space="preserve">7.4 Right to Non-Discrimination</w:t>
      </w:r>
    </w:p>
    <w:p>
      <w:pPr>
        <w:spacing w:before="100" w:after="100"/>
      </w:pPr>
      <w:r>
        <w:rPr>
          <w:rFonts w:ascii="Arial" w:cs="Arial" w:eastAsia="Arial" w:hAnsi="Arial"/>
          <w:color w:val="333333"/>
          <w:sz w:val="22"/>
          <w:szCs w:val="22"/>
        </w:rPr>
        <w:t xml:space="preserve">We will not discriminate against you for exercising any of your rights under this policy or the WMHMDA. You will not be denied services, charged different prices, or provided a different level of service quality as a result of exercising your privacy rights.</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8. How to Exercise Your Rights</w:t>
      </w:r>
    </w:p>
    <w:p>
      <w:pPr>
        <w:spacing w:before="100" w:after="100"/>
      </w:pPr>
      <w:r>
        <w:rPr>
          <w:rFonts w:ascii="Arial" w:cs="Arial" w:eastAsia="Arial" w:hAnsi="Arial"/>
          <w:color w:val="333333"/>
          <w:sz w:val="22"/>
          <w:szCs w:val="22"/>
        </w:rPr>
        <w:t xml:space="preserve">To exercise any of your rights under this policy, you may contact us through the following channels:</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60" w:after="80"/>
            </w:pPr>
            <w:r>
              <w:rPr>
                <w:rFonts w:ascii="Arial" w:cs="Arial" w:eastAsia="Arial" w:hAnsi="Arial"/>
                <w:b/>
                <w:bCs/>
                <w:color w:val="1A1A2E"/>
                <w:sz w:val="22"/>
                <w:szCs w:val="22"/>
              </w:rPr>
              <w:t xml:space="preserve">Submit a Privacy Request</w:t>
            </w:r>
          </w:p>
          <w:p>
            <w:pPr>
              <w:spacing w:before="60" w:after="60"/>
            </w:pPr>
            <w:r>
              <w:rPr>
                <w:rFonts w:ascii="Arial" w:cs="Arial" w:eastAsia="Arial" w:hAnsi="Arial"/>
                <w:color w:val="333333"/>
                <w:sz w:val="22"/>
                <w:szCs w:val="22"/>
              </w:rPr>
              <w:t xml:space="preserve">Email: support@zwinkle.co
Subject Line: "Washington Health Data Privacy Request"
We will acknowledge your request within 10 business days and complete our response within 45 days. If additional time is required, we will notify you and may extend the response period by an additional 45 days.</w:t>
            </w:r>
          </w:p>
        </w:tc>
      </w:tr>
    </w:tbl>
    <w:p>
      <w:pPr>
        <w:spacing w:before="120" w:after="120"/>
      </w:pPr>
      <w:r>
        <w:t xml:space="preserve"/>
      </w:r>
    </w:p>
    <w:p>
      <w:pPr>
        <w:spacing w:before="100" w:after="100"/>
      </w:pPr>
      <w:r>
        <w:rPr>
          <w:rFonts w:ascii="Arial" w:cs="Arial" w:eastAsia="Arial" w:hAnsi="Arial"/>
          <w:color w:val="333333"/>
          <w:sz w:val="22"/>
          <w:szCs w:val="22"/>
        </w:rPr>
        <w:t xml:space="preserve">To protect your privacy and security, we may need to verify your identity before processing your request. We will use reasonable methods to verify your identity without requiring unnecessary personal information.</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9. Data Retention</w:t>
      </w:r>
    </w:p>
    <w:p>
      <w:pPr>
        <w:spacing w:before="100" w:after="100"/>
      </w:pPr>
      <w:r>
        <w:rPr>
          <w:rFonts w:ascii="Arial" w:cs="Arial" w:eastAsia="Arial" w:hAnsi="Arial"/>
          <w:color w:val="333333"/>
          <w:sz w:val="22"/>
          <w:szCs w:val="22"/>
        </w:rPr>
        <w:t xml:space="preserve">We retain consumer health data only for as long as necessary to fulfill the purposes described in this policy, unless a longer retention period is required or permitted by law. When consumer health data is no longer needed, we will securely delete or anonymize it.</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10. Data Security</w:t>
      </w:r>
    </w:p>
    <w:p>
      <w:pPr>
        <w:spacing w:before="100" w:after="100"/>
      </w:pPr>
      <w:r>
        <w:rPr>
          <w:rFonts w:ascii="Arial" w:cs="Arial" w:eastAsia="Arial" w:hAnsi="Arial"/>
          <w:color w:val="333333"/>
          <w:sz w:val="22"/>
          <w:szCs w:val="22"/>
        </w:rPr>
        <w:t xml:space="preserve">We implement and maintain reasonable technical, administrative, and physical security measures designed to protect consumer health data from unauthorized access, disclosure, alteration, and destruction. These measures include:</w:t>
      </w:r>
    </w:p>
    <w:p>
      <w:pPr>
        <w:pStyle w:val="ListParagraph"/>
        <w:numPr>
          <w:ilvl w:val="0"/>
          <w:numId w:val="2"/>
        </w:numPr>
        <w:spacing w:before="60" w:after="60"/>
      </w:pPr>
      <w:r>
        <w:rPr>
          <w:rFonts w:ascii="Arial" w:cs="Arial" w:eastAsia="Arial" w:hAnsi="Arial"/>
          <w:color w:val="333333"/>
          <w:sz w:val="22"/>
          <w:szCs w:val="22"/>
        </w:rPr>
        <w:t xml:space="preserve">Encryption of data in transit using industry-standard TLS protocols</w:t>
      </w:r>
    </w:p>
    <w:p>
      <w:pPr>
        <w:pStyle w:val="ListParagraph"/>
        <w:numPr>
          <w:ilvl w:val="0"/>
          <w:numId w:val="2"/>
        </w:numPr>
        <w:spacing w:before="60" w:after="60"/>
      </w:pPr>
      <w:r>
        <w:rPr>
          <w:rFonts w:ascii="Arial" w:cs="Arial" w:eastAsia="Arial" w:hAnsi="Arial"/>
          <w:color w:val="333333"/>
          <w:sz w:val="22"/>
          <w:szCs w:val="22"/>
        </w:rPr>
        <w:t xml:space="preserve">Access controls limiting employee access to consumer health data on a need-to-know basis</w:t>
      </w:r>
    </w:p>
    <w:p>
      <w:pPr>
        <w:pStyle w:val="ListParagraph"/>
        <w:numPr>
          <w:ilvl w:val="0"/>
          <w:numId w:val="2"/>
        </w:numPr>
        <w:spacing w:before="60" w:after="60"/>
      </w:pPr>
      <w:r>
        <w:rPr>
          <w:rFonts w:ascii="Arial" w:cs="Arial" w:eastAsia="Arial" w:hAnsi="Arial"/>
          <w:color w:val="333333"/>
          <w:sz w:val="22"/>
          <w:szCs w:val="22"/>
        </w:rPr>
        <w:t xml:space="preserve">Regular security assessments and vulnerability testing</w:t>
      </w:r>
    </w:p>
    <w:p>
      <w:pPr>
        <w:pStyle w:val="ListParagraph"/>
        <w:numPr>
          <w:ilvl w:val="0"/>
          <w:numId w:val="2"/>
        </w:numPr>
        <w:spacing w:before="60" w:after="60"/>
      </w:pPr>
      <w:r>
        <w:rPr>
          <w:rFonts w:ascii="Arial" w:cs="Arial" w:eastAsia="Arial" w:hAnsi="Arial"/>
          <w:color w:val="333333"/>
          <w:sz w:val="22"/>
          <w:szCs w:val="22"/>
        </w:rPr>
        <w:t xml:space="preserve">Incident response procedures to detect and address potential data breaches</w:t>
      </w:r>
    </w:p>
    <w:p>
      <w:pPr>
        <w:pStyle w:val="ListParagraph"/>
        <w:numPr>
          <w:ilvl w:val="0"/>
          <w:numId w:val="2"/>
        </w:numPr>
        <w:spacing w:before="60" w:after="60"/>
      </w:pPr>
      <w:r>
        <w:rPr>
          <w:rFonts w:ascii="Arial" w:cs="Arial" w:eastAsia="Arial" w:hAnsi="Arial"/>
          <w:color w:val="333333"/>
          <w:sz w:val="22"/>
          <w:szCs w:val="22"/>
        </w:rPr>
        <w:t xml:space="preserve">Contractual requirements for third-party service providers to implement appropriate security measures</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11. Geofenced Consumer Health Data Protections</w:t>
      </w:r>
    </w:p>
    <w:p>
      <w:pPr>
        <w:spacing w:before="100" w:after="100"/>
      </w:pPr>
      <w:r>
        <w:rPr>
          <w:rFonts w:ascii="Arial" w:cs="Arial" w:eastAsia="Arial" w:hAnsi="Arial"/>
          <w:color w:val="333333"/>
          <w:sz w:val="22"/>
          <w:szCs w:val="22"/>
        </w:rPr>
        <w:t xml:space="preserve">In compliance with the WMHMDA geofencing provisions, we do not use geofencing technology around any healthcare facility, clinic, or provider location to collect or use consumer health data from individuals within that geofenced area without their express consent.</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12. Consent Requirements</w:t>
      </w:r>
    </w:p>
    <w:p>
      <w:pPr>
        <w:spacing w:before="100" w:after="100"/>
      </w:pPr>
      <w:r>
        <w:rPr>
          <w:rFonts w:ascii="Arial" w:cs="Arial" w:eastAsia="Arial" w:hAnsi="Arial"/>
          <w:color w:val="333333"/>
          <w:sz w:val="22"/>
          <w:szCs w:val="22"/>
        </w:rPr>
        <w:t xml:space="preserve">For any collection or sharing of consumer health data that requires consent under the WMHMDA, we will:</w:t>
      </w:r>
    </w:p>
    <w:p>
      <w:pPr>
        <w:pStyle w:val="ListParagraph"/>
        <w:numPr>
          <w:ilvl w:val="0"/>
          <w:numId w:val="2"/>
        </w:numPr>
        <w:spacing w:before="60" w:after="60"/>
      </w:pPr>
      <w:r>
        <w:rPr>
          <w:rFonts w:ascii="Arial" w:cs="Arial" w:eastAsia="Arial" w:hAnsi="Arial"/>
          <w:color w:val="333333"/>
          <w:sz w:val="22"/>
          <w:szCs w:val="22"/>
        </w:rPr>
        <w:t xml:space="preserve">Present a separate, standalone consent request that is not bundled with general terms of service</w:t>
      </w:r>
    </w:p>
    <w:p>
      <w:pPr>
        <w:pStyle w:val="ListParagraph"/>
        <w:numPr>
          <w:ilvl w:val="0"/>
          <w:numId w:val="2"/>
        </w:numPr>
        <w:spacing w:before="60" w:after="60"/>
      </w:pPr>
      <w:r>
        <w:rPr>
          <w:rFonts w:ascii="Arial" w:cs="Arial" w:eastAsia="Arial" w:hAnsi="Arial"/>
          <w:color w:val="333333"/>
          <w:sz w:val="22"/>
          <w:szCs w:val="22"/>
        </w:rPr>
        <w:t xml:space="preserve">Use plain and clear language that describes the specific data to be collected and the purposes for which it will be used</w:t>
      </w:r>
    </w:p>
    <w:p>
      <w:pPr>
        <w:pStyle w:val="ListParagraph"/>
        <w:numPr>
          <w:ilvl w:val="0"/>
          <w:numId w:val="2"/>
        </w:numPr>
        <w:spacing w:before="60" w:after="60"/>
      </w:pPr>
      <w:r>
        <w:rPr>
          <w:rFonts w:ascii="Arial" w:cs="Arial" w:eastAsia="Arial" w:hAnsi="Arial"/>
          <w:color w:val="333333"/>
          <w:sz w:val="22"/>
          <w:szCs w:val="22"/>
        </w:rPr>
        <w:t xml:space="preserve">Clearly identify all entities that will have access to the data</w:t>
      </w:r>
    </w:p>
    <w:p>
      <w:pPr>
        <w:pStyle w:val="ListParagraph"/>
        <w:numPr>
          <w:ilvl w:val="0"/>
          <w:numId w:val="2"/>
        </w:numPr>
        <w:spacing w:before="60" w:after="60"/>
      </w:pPr>
      <w:r>
        <w:rPr>
          <w:rFonts w:ascii="Arial" w:cs="Arial" w:eastAsia="Arial" w:hAnsi="Arial"/>
          <w:color w:val="333333"/>
          <w:sz w:val="22"/>
          <w:szCs w:val="22"/>
        </w:rPr>
        <w:t xml:space="preserve">Provide a method for you to revoke consent at any time</w:t>
      </w:r>
    </w:p>
    <w:p>
      <w:pPr>
        <w:pStyle w:val="ListParagraph"/>
        <w:numPr>
          <w:ilvl w:val="0"/>
          <w:numId w:val="2"/>
        </w:numPr>
        <w:spacing w:before="60" w:after="60"/>
      </w:pPr>
      <w:r>
        <w:rPr>
          <w:rFonts w:ascii="Arial" w:cs="Arial" w:eastAsia="Arial" w:hAnsi="Arial"/>
          <w:color w:val="333333"/>
          <w:sz w:val="22"/>
          <w:szCs w:val="22"/>
        </w:rPr>
        <w:t xml:space="preserve">Not make provision of services conditional on your consent to collection of non-necessary health data</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13. Third-Party Service Providers</w:t>
      </w:r>
    </w:p>
    <w:p>
      <w:pPr>
        <w:spacing w:before="100" w:after="100"/>
      </w:pPr>
      <w:r>
        <w:rPr>
          <w:rFonts w:ascii="Arial" w:cs="Arial" w:eastAsia="Arial" w:hAnsi="Arial"/>
          <w:color w:val="333333"/>
          <w:sz w:val="22"/>
          <w:szCs w:val="22"/>
        </w:rPr>
        <w:t xml:space="preserve">When we engage third-party service providers to process consumer health data on our behalf, we require them to:</w:t>
      </w:r>
    </w:p>
    <w:p>
      <w:pPr>
        <w:pStyle w:val="ListParagraph"/>
        <w:numPr>
          <w:ilvl w:val="0"/>
          <w:numId w:val="2"/>
        </w:numPr>
        <w:spacing w:before="60" w:after="60"/>
      </w:pPr>
      <w:r>
        <w:rPr>
          <w:rFonts w:ascii="Arial" w:cs="Arial" w:eastAsia="Arial" w:hAnsi="Arial"/>
          <w:color w:val="333333"/>
          <w:sz w:val="22"/>
          <w:szCs w:val="22"/>
        </w:rPr>
        <w:t xml:space="preserve">Process health data only for purposes authorized by us and consistent with this policy</w:t>
      </w:r>
    </w:p>
    <w:p>
      <w:pPr>
        <w:pStyle w:val="ListParagraph"/>
        <w:numPr>
          <w:ilvl w:val="0"/>
          <w:numId w:val="2"/>
        </w:numPr>
        <w:spacing w:before="60" w:after="60"/>
      </w:pPr>
      <w:r>
        <w:rPr>
          <w:rFonts w:ascii="Arial" w:cs="Arial" w:eastAsia="Arial" w:hAnsi="Arial"/>
          <w:color w:val="333333"/>
          <w:sz w:val="22"/>
          <w:szCs w:val="22"/>
        </w:rPr>
        <w:t xml:space="preserve">Implement reasonable security measures to protect the data</w:t>
      </w:r>
    </w:p>
    <w:p>
      <w:pPr>
        <w:pStyle w:val="ListParagraph"/>
        <w:numPr>
          <w:ilvl w:val="0"/>
          <w:numId w:val="2"/>
        </w:numPr>
        <w:spacing w:before="60" w:after="60"/>
      </w:pPr>
      <w:r>
        <w:rPr>
          <w:rFonts w:ascii="Arial" w:cs="Arial" w:eastAsia="Arial" w:hAnsi="Arial"/>
          <w:color w:val="333333"/>
          <w:sz w:val="22"/>
          <w:szCs w:val="22"/>
        </w:rPr>
        <w:t xml:space="preserve">Delete or return the data upon termination of our relationship</w:t>
      </w:r>
    </w:p>
    <w:p>
      <w:pPr>
        <w:pStyle w:val="ListParagraph"/>
        <w:numPr>
          <w:ilvl w:val="0"/>
          <w:numId w:val="2"/>
        </w:numPr>
        <w:spacing w:before="60" w:after="60"/>
      </w:pPr>
      <w:r>
        <w:rPr>
          <w:rFonts w:ascii="Arial" w:cs="Arial" w:eastAsia="Arial" w:hAnsi="Arial"/>
          <w:color w:val="333333"/>
          <w:sz w:val="22"/>
          <w:szCs w:val="22"/>
        </w:rPr>
        <w:t xml:space="preserve">Not share the data with additional third parties without our authorization</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14. Changes to This Policy</w:t>
      </w:r>
    </w:p>
    <w:p>
      <w:pPr>
        <w:spacing w:before="100" w:after="100"/>
      </w:pPr>
      <w:r>
        <w:rPr>
          <w:rFonts w:ascii="Arial" w:cs="Arial" w:eastAsia="Arial" w:hAnsi="Arial"/>
          <w:color w:val="333333"/>
          <w:sz w:val="22"/>
          <w:szCs w:val="22"/>
        </w:rPr>
        <w:t xml:space="preserve">We may update this policy from time to time to reflect changes in our practices, the WMHMDA, or other applicable laws. When we make material changes, we will:</w:t>
      </w:r>
    </w:p>
    <w:p>
      <w:pPr>
        <w:pStyle w:val="ListParagraph"/>
        <w:numPr>
          <w:ilvl w:val="0"/>
          <w:numId w:val="2"/>
        </w:numPr>
        <w:spacing w:before="60" w:after="60"/>
      </w:pPr>
      <w:r>
        <w:rPr>
          <w:rFonts w:ascii="Arial" w:cs="Arial" w:eastAsia="Arial" w:hAnsi="Arial"/>
          <w:color w:val="333333"/>
          <w:sz w:val="22"/>
          <w:szCs w:val="22"/>
        </w:rPr>
        <w:t xml:space="preserve">Post the updated policy on our website with a new effective date</w:t>
      </w:r>
    </w:p>
    <w:p>
      <w:pPr>
        <w:pStyle w:val="ListParagraph"/>
        <w:numPr>
          <w:ilvl w:val="0"/>
          <w:numId w:val="2"/>
        </w:numPr>
        <w:spacing w:before="60" w:after="60"/>
      </w:pPr>
      <w:r>
        <w:rPr>
          <w:rFonts w:ascii="Arial" w:cs="Arial" w:eastAsia="Arial" w:hAnsi="Arial"/>
          <w:color w:val="333333"/>
          <w:sz w:val="22"/>
          <w:szCs w:val="22"/>
        </w:rPr>
        <w:t xml:space="preserve">Notify you via email or in-app notification if the changes are significant</w:t>
      </w:r>
    </w:p>
    <w:p>
      <w:pPr>
        <w:pStyle w:val="ListParagraph"/>
        <w:numPr>
          <w:ilvl w:val="0"/>
          <w:numId w:val="2"/>
        </w:numPr>
        <w:spacing w:before="60" w:after="60"/>
      </w:pPr>
      <w:r>
        <w:rPr>
          <w:rFonts w:ascii="Arial" w:cs="Arial" w:eastAsia="Arial" w:hAnsi="Arial"/>
          <w:color w:val="333333"/>
          <w:sz w:val="22"/>
          <w:szCs w:val="22"/>
        </w:rPr>
        <w:t xml:space="preserve">Where required by law, obtain your consent for changes that affect your rights</w:t>
      </w:r>
    </w:p>
    <w:p>
      <w:pPr>
        <w:spacing w:before="120" w:after="120"/>
      </w:pPr>
      <w:r>
        <w:t xml:space="preserve"/>
      </w:r>
    </w:p>
    <w:p>
      <w:pPr>
        <w:spacing w:before="100" w:after="100"/>
      </w:pPr>
      <w:r>
        <w:rPr>
          <w:rFonts w:ascii="Arial" w:cs="Arial" w:eastAsia="Arial" w:hAnsi="Arial"/>
          <w:color w:val="333333"/>
          <w:sz w:val="22"/>
          <w:szCs w:val="22"/>
        </w:rPr>
        <w:t xml:space="preserve">Your continued use of Zwinkle after the effective date of any update constitutes your acceptance of the revised policy.</w:t>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15. Contact Information</w:t>
      </w:r>
    </w:p>
    <w:p>
      <w:pPr>
        <w:spacing w:before="100" w:after="100"/>
      </w:pPr>
      <w:r>
        <w:rPr>
          <w:rFonts w:ascii="Arial" w:cs="Arial" w:eastAsia="Arial" w:hAnsi="Arial"/>
          <w:color w:val="333333"/>
          <w:sz w:val="22"/>
          <w:szCs w:val="22"/>
        </w:rPr>
        <w:t xml:space="preserve">If you have questions about this policy, wish to exercise your rights, or have concerns about how we handle your consumer health data, please contact us:</w:t>
      </w:r>
    </w:p>
    <w:p>
      <w:pPr>
        <w:spacing w:before="12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E" w:val="clear"/>
            <w:tcMar>
              <w:top w:type="dxa" w:w="160"/>
              <w:left w:type="dxa" w:w="200"/>
              <w:bottom w:type="dxa" w:w="160"/>
              <w:right w:type="dxa" w:w="200"/>
            </w:tcMar>
          </w:tcPr>
          <w:p>
            <w:pPr>
              <w:spacing w:before="60" w:after="80"/>
            </w:pPr>
            <w:r>
              <w:rPr>
                <w:rFonts w:ascii="Arial" w:cs="Arial" w:eastAsia="Arial" w:hAnsi="Arial"/>
                <w:b/>
                <w:bCs/>
                <w:color w:val="1A1A2E"/>
                <w:sz w:val="22"/>
                <w:szCs w:val="22"/>
              </w:rPr>
              <w:t xml:space="preserve">Zwinkle Privacy Team — Just Dating Co., Ltd.</w:t>
            </w:r>
          </w:p>
          <w:p>
            <w:pPr>
              <w:spacing w:before="60" w:after="60"/>
            </w:pPr>
            <w:r>
              <w:rPr>
                <w:rFonts w:ascii="Arial" w:cs="Arial" w:eastAsia="Arial" w:hAnsi="Arial"/>
                <w:color w:val="333333"/>
                <w:sz w:val="22"/>
                <w:szCs w:val="22"/>
              </w:rPr>
              <w:t xml:space="preserve">Email: support@zwinkle.co
General Inquiries: hello@zwinkle.co
Website: https://zwinkle.co/safety-privacy/
Support Hours: Every day, 9:00 AM – 10:00 PM (ICT)</w:t>
            </w:r>
          </w:p>
        </w:tc>
      </w:tr>
    </w:tbl>
    <w:p>
      <w:pPr>
        <w:spacing w:before="120" w:after="120"/>
      </w:pPr>
      <w:r>
        <w:t xml:space="preserve"/>
      </w:r>
    </w:p>
    <w:p>
      <w:pPr>
        <w:spacing w:before="120" w:after="120"/>
      </w:pPr>
      <w:r>
        <w:t xml:space="preserve"/>
      </w:r>
    </w:p>
    <w:p>
      <w:pPr>
        <w:pStyle w:val="Heading1"/>
        <w:spacing w:before="360" w:after="180"/>
      </w:pPr>
      <w:r>
        <w:rPr>
          <w:rFonts w:ascii="Arial" w:cs="Arial" w:eastAsia="Arial" w:hAnsi="Arial"/>
          <w:b/>
          <w:bCs/>
          <w:color w:val="1A1A2E"/>
          <w:sz w:val="32"/>
          <w:szCs w:val="32"/>
        </w:rPr>
        <w:t xml:space="preserve">16. Relationship to Other Privacy Policies</w:t>
      </w:r>
    </w:p>
    <w:p>
      <w:pPr>
        <w:spacing w:before="100" w:after="100"/>
      </w:pPr>
      <w:r>
        <w:rPr>
          <w:rFonts w:ascii="Arial" w:cs="Arial" w:eastAsia="Arial" w:hAnsi="Arial"/>
          <w:color w:val="333333"/>
          <w:sz w:val="22"/>
          <w:szCs w:val="22"/>
        </w:rPr>
        <w:t xml:space="preserve">This Washington Consumer Health Data Privacy Policy supplements and should be read in conjunction with Zwinkle's general Privacy Policy and Terms and Conditions available at zwinkle.co. In the event of any conflict between this policy and our general Privacy Policy with respect to consumer health data for Washington State residents, this policy shall govern.</w:t>
      </w:r>
    </w:p>
    <w:p>
      <w:pPr>
        <w:spacing w:before="120" w:after="120"/>
      </w:pPr>
      <w:r>
        <w:t xml:space="preserve"/>
      </w:r>
    </w:p>
    <w:p>
      <w:pPr>
        <w:pBdr>
          <w:bottom w:val="single" w:color="CCCCCC" w:sz="1"/>
        </w:pBdr>
        <w:spacing w:before="200" w:after="200"/>
      </w:pPr>
      <w:r>
        <w:t xml:space="preserve"/>
      </w:r>
    </w:p>
    <w:p>
      <w:pPr>
        <w:spacing w:before="200" w:after="60"/>
        <w:jc w:val="center"/>
      </w:pPr>
      <w:r>
        <w:rPr>
          <w:rFonts w:ascii="Arial" w:cs="Arial" w:eastAsia="Arial" w:hAnsi="Arial"/>
          <w:b/>
          <w:bCs/>
          <w:color w:val="1A1A2E"/>
          <w:sz w:val="20"/>
          <w:szCs w:val="20"/>
        </w:rPr>
        <w:t xml:space="preserve">Zwinkle  |  Operated by Just Dating Co., Ltd.</w:t>
      </w:r>
    </w:p>
    <w:p>
      <w:pPr>
        <w:spacing w:before="60" w:after="60"/>
        <w:jc w:val="center"/>
      </w:pPr>
      <w:r>
        <w:rPr>
          <w:rFonts w:ascii="Arial" w:cs="Arial" w:eastAsia="Arial" w:hAnsi="Arial"/>
          <w:color w:val="888888"/>
          <w:sz w:val="18"/>
          <w:szCs w:val="18"/>
        </w:rPr>
        <w:t xml:space="preserve">hello@zwinkle.co  |  zwinkle.co</w:t>
      </w:r>
    </w:p>
    <w:p>
      <w:pPr>
        <w:spacing w:before="60" w:after="60"/>
        <w:jc w:val="center"/>
      </w:pPr>
      <w:r>
        <w:rPr>
          <w:rFonts w:ascii="Arial" w:cs="Arial" w:eastAsia="Arial" w:hAnsi="Arial"/>
          <w:i/>
          <w:iCs/>
          <w:color w:val="888888"/>
          <w:sz w:val="18"/>
          <w:szCs w:val="18"/>
        </w:rPr>
        <w:t xml:space="preserve">© 2025 Just Dating Co., Ltd. All Rights Reserved.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pBdr>
      <w:spacing w:before="120"/>
      <w:jc w:val="center"/>
    </w:pPr>
    <w:r>
      <w:rPr>
        <w:rFonts w:ascii="Arial" w:cs="Arial" w:eastAsia="Arial" w:hAnsi="Arial"/>
        <w:color w:val="888888"/>
        <w:sz w:val="18"/>
        <w:szCs w:val="18"/>
      </w:rPr>
      <w:t xml:space="preserve">zwinkle.co  |  hello@zwinkle.co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120"/>
      <w:jc w:val="right"/>
    </w:pPr>
    <w:r>
      <w:rPr>
        <w:rFonts w:ascii="Arial" w:cs="Arial" w:eastAsia="Arial" w:hAnsi="Arial"/>
        <w:color w:val="888888"/>
        <w:sz w:val="18"/>
        <w:szCs w:val="18"/>
      </w:rPr>
      <w:t xml:space="preserve">Zwinkle | Washington Consumer Health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1A1A2E"/>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C3E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2026-02-12T13:07:04.782Z</dcterms:created>
  <dcterms:modified xsi:type="dcterms:W3CDTF">2026-02-12T13:07:04.782Z</dcterms:modified>
</cp:coreProperties>
</file>

<file path=docProps/custom.xml><?xml version="1.0" encoding="utf-8"?>
<Properties xmlns="http://schemas.openxmlformats.org/officeDocument/2006/custom-properties" xmlns:vt="http://schemas.openxmlformats.org/officeDocument/2006/docPropsVTypes"/>
</file>